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64E0A2BB"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D93B8E">
        <w:rPr>
          <w:b/>
          <w:noProof/>
          <w:sz w:val="24"/>
        </w:rPr>
        <w:t>6</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5647B4">
        <w:rPr>
          <w:b/>
          <w:noProof/>
          <w:sz w:val="24"/>
        </w:rPr>
        <w:t>0</w:t>
      </w:r>
      <w:r w:rsidR="00D67055">
        <w:rPr>
          <w:b/>
          <w:noProof/>
          <w:sz w:val="24"/>
        </w:rPr>
        <w:t>5515</w:t>
      </w:r>
    </w:p>
    <w:bookmarkEnd w:id="1"/>
    <w:bookmarkEnd w:id="2"/>
    <w:p w14:paraId="3DEA82A0" w14:textId="7BAD2B5E" w:rsidR="001A6150" w:rsidRPr="0062079E" w:rsidRDefault="00D93B8E" w:rsidP="00C93588">
      <w:pPr>
        <w:pStyle w:val="a4"/>
        <w:spacing w:after="100" w:afterAutospacing="1"/>
        <w:rPr>
          <w:rFonts w:eastAsia="MS Mincho"/>
          <w:sz w:val="24"/>
          <w:lang w:val="fr-CA"/>
        </w:rPr>
      </w:pPr>
      <w:r w:rsidRPr="00E87005">
        <w:rPr>
          <w:rFonts w:eastAsia="MS Mincho" w:cs="Arial"/>
          <w:sz w:val="24"/>
          <w:lang w:eastAsia="en-US"/>
        </w:rPr>
        <w:t>Fukuoka</w:t>
      </w:r>
      <w:r w:rsidRPr="004C60F2">
        <w:rPr>
          <w:rFonts w:eastAsia="MS Mincho" w:cs="Arial"/>
          <w:sz w:val="24"/>
          <w:lang w:eastAsia="en-US"/>
        </w:rPr>
        <w:t xml:space="preserve">, </w:t>
      </w:r>
      <w:r>
        <w:rPr>
          <w:rFonts w:eastAsia="MS Mincho" w:cs="Arial"/>
          <w:sz w:val="24"/>
          <w:lang w:eastAsia="en-US"/>
        </w:rPr>
        <w:t>Japan</w:t>
      </w:r>
      <w:r w:rsidRPr="004C60F2">
        <w:rPr>
          <w:rFonts w:eastAsia="MS Mincho" w:cs="Arial"/>
          <w:sz w:val="24"/>
          <w:lang w:eastAsia="en-US"/>
        </w:rPr>
        <w:t xml:space="preserve">, </w:t>
      </w:r>
      <w:r>
        <w:rPr>
          <w:rFonts w:eastAsia="MS Mincho" w:cs="Arial"/>
          <w:sz w:val="24"/>
          <w:lang w:eastAsia="en-US"/>
        </w:rPr>
        <w:t>20</w:t>
      </w:r>
      <w:r w:rsidRPr="004C60F2">
        <w:rPr>
          <w:rFonts w:eastAsia="MS Mincho" w:cs="Arial"/>
          <w:sz w:val="24"/>
          <w:vertAlign w:val="superscript"/>
          <w:lang w:eastAsia="en-US"/>
        </w:rPr>
        <w:t>th</w:t>
      </w:r>
      <w:r w:rsidRPr="004C60F2">
        <w:rPr>
          <w:rFonts w:eastAsia="MS Mincho" w:cs="Arial"/>
          <w:sz w:val="24"/>
          <w:lang w:eastAsia="en-US"/>
        </w:rPr>
        <w:t xml:space="preserve"> </w:t>
      </w:r>
      <w:r>
        <w:rPr>
          <w:rFonts w:eastAsia="MS Mincho" w:cs="Arial"/>
          <w:sz w:val="24"/>
          <w:lang w:eastAsia="en-US"/>
        </w:rPr>
        <w:t>May</w:t>
      </w:r>
      <w:r w:rsidRPr="004C60F2">
        <w:rPr>
          <w:rFonts w:eastAsia="MS Mincho" w:cs="Arial"/>
          <w:sz w:val="24"/>
          <w:lang w:eastAsia="en-US"/>
        </w:rPr>
        <w:t xml:space="preserve"> – </w:t>
      </w:r>
      <w:r>
        <w:rPr>
          <w:rFonts w:eastAsia="MS Mincho" w:cs="Arial"/>
          <w:sz w:val="24"/>
          <w:lang w:eastAsia="en-US"/>
        </w:rPr>
        <w:t>24</w:t>
      </w:r>
      <w:r w:rsidRPr="004C60F2">
        <w:rPr>
          <w:rFonts w:eastAsia="MS Mincho" w:cs="Arial"/>
          <w:sz w:val="24"/>
          <w:vertAlign w:val="superscript"/>
          <w:lang w:eastAsia="en-US"/>
        </w:rPr>
        <w:t>th</w:t>
      </w:r>
      <w:r w:rsidRPr="004C60F2">
        <w:rPr>
          <w:rFonts w:eastAsia="MS Mincho" w:cs="Arial"/>
          <w:sz w:val="24"/>
          <w:lang w:eastAsia="en-US"/>
        </w:rPr>
        <w:t xml:space="preserve"> </w:t>
      </w:r>
      <w:r>
        <w:rPr>
          <w:rFonts w:eastAsia="MS Mincho" w:cs="Arial"/>
          <w:sz w:val="24"/>
          <w:lang w:eastAsia="en-US"/>
        </w:rPr>
        <w:t>May</w:t>
      </w:r>
      <w:r w:rsidRPr="004C60F2">
        <w:rPr>
          <w:rFonts w:eastAsia="MS Mincho" w:cs="Arial"/>
          <w:sz w:val="24"/>
          <w:lang w:eastAsia="en-US"/>
        </w:rPr>
        <w:t>, 2024</w:t>
      </w:r>
    </w:p>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633B01F"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717D1F" w:rsidRPr="00717D1F">
        <w:rPr>
          <w:rFonts w:ascii="Arial" w:hAnsi="Arial"/>
          <w:b/>
          <w:sz w:val="24"/>
          <w:lang w:val="fr-CA"/>
        </w:rPr>
        <w:t>7.25.1.7</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0CCD04E5"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406CD9">
        <w:rPr>
          <w:rFonts w:ascii="Arial" w:hAnsi="Arial"/>
          <w:b/>
          <w:sz w:val="24"/>
        </w:rPr>
        <w:t xml:space="preserve">Discussion on BWP operation without bandwidth restriction for </w:t>
      </w:r>
      <w:proofErr w:type="spellStart"/>
      <w:r w:rsidR="00406CD9">
        <w:rPr>
          <w:rFonts w:ascii="Arial" w:hAnsi="Arial"/>
          <w:b/>
          <w:sz w:val="24"/>
        </w:rPr>
        <w:t>PSCell</w:t>
      </w:r>
      <w:proofErr w:type="spellEnd"/>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E16DC8">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47B03309" w:rsidR="0041681B" w:rsidRPr="00406CD9" w:rsidRDefault="00406CD9" w:rsidP="00406CD9">
      <w:r>
        <w:t>In the previous meeting, RAN2 sent an LS (</w:t>
      </w:r>
      <w:r w:rsidRPr="00406CD9">
        <w:t>R2-2313951</w:t>
      </w:r>
      <w:r>
        <w:t xml:space="preserve">) to RAN4 on whether the BWP operation without bandwidth restriction is applicable for </w:t>
      </w:r>
      <w:proofErr w:type="spellStart"/>
      <w:r>
        <w:t>PSCell</w:t>
      </w:r>
      <w:proofErr w:type="spellEnd"/>
      <w:r>
        <w:t>.</w:t>
      </w:r>
    </w:p>
    <w:p w14:paraId="6E5EAC10" w14:textId="02EF62FA" w:rsidR="005647B4" w:rsidRDefault="00406CD9" w:rsidP="00406CD9">
      <w:r>
        <w:t xml:space="preserve">RAN4 provides feedback in </w:t>
      </w:r>
      <w:r w:rsidR="002D7A86">
        <w:t xml:space="preserve">R4-2406500, clarifying that the </w:t>
      </w:r>
      <w:bookmarkStart w:id="3" w:name="_Hlk156986800"/>
      <w:r w:rsidR="002D7A86">
        <w:rPr>
          <w:i/>
          <w:iCs/>
        </w:rPr>
        <w:t>ncd-SSB-BWP-Wor-r18</w:t>
      </w:r>
      <w:bookmarkEnd w:id="3"/>
      <w:r w:rsidR="002D7A86">
        <w:rPr>
          <w:i/>
          <w:iCs/>
        </w:rPr>
        <w:t xml:space="preserve"> </w:t>
      </w:r>
      <w:r w:rsidR="002D7A86">
        <w:t xml:space="preserve">capability and corresponding measurement requirements are also applicable for </w:t>
      </w:r>
      <w:proofErr w:type="spellStart"/>
      <w:r w:rsidR="002D7A86">
        <w:t>PSCell</w:t>
      </w:r>
      <w:proofErr w:type="spellEnd"/>
      <w:r w:rsidR="00E20A29">
        <w:t xml:space="preserve"> [1]</w:t>
      </w:r>
      <w:r w:rsidR="002D7A86">
        <w:t>.</w:t>
      </w:r>
    </w:p>
    <w:tbl>
      <w:tblPr>
        <w:tblStyle w:val="af6"/>
        <w:tblW w:w="0" w:type="auto"/>
        <w:tblLook w:val="04A0" w:firstRow="1" w:lastRow="0" w:firstColumn="1" w:lastColumn="0" w:noHBand="0" w:noVBand="1"/>
      </w:tblPr>
      <w:tblGrid>
        <w:gridCol w:w="9629"/>
      </w:tblGrid>
      <w:tr w:rsidR="002D7A86" w14:paraId="0D0D74BB" w14:textId="77777777" w:rsidTr="002D7A86">
        <w:tc>
          <w:tcPr>
            <w:tcW w:w="9629" w:type="dxa"/>
          </w:tcPr>
          <w:p w14:paraId="33D603C5" w14:textId="7245D339" w:rsidR="0072430C" w:rsidRPr="0072430C" w:rsidRDefault="0072430C" w:rsidP="0072430C">
            <w:pPr>
              <w:rPr>
                <w:b/>
              </w:rPr>
            </w:pPr>
            <w:r w:rsidRPr="0072430C">
              <w:rPr>
                <w:rFonts w:hint="eastAsia"/>
                <w:b/>
              </w:rPr>
              <w:t>R</w:t>
            </w:r>
            <w:r w:rsidRPr="0072430C">
              <w:rPr>
                <w:b/>
              </w:rPr>
              <w:t>AN4 LS R4-2406500:</w:t>
            </w:r>
          </w:p>
          <w:p w14:paraId="287E2EA2" w14:textId="77777777" w:rsidR="002D7A86" w:rsidRPr="002D7A86" w:rsidRDefault="002D7A86" w:rsidP="002D7A86">
            <w:pPr>
              <w:suppressAutoHyphens/>
              <w:autoSpaceDN/>
              <w:adjustRightInd/>
              <w:spacing w:after="120"/>
              <w:jc w:val="both"/>
              <w:rPr>
                <w:rFonts w:ascii="Arial" w:hAnsi="Arial" w:cs="Arial"/>
                <w:lang w:val="en-US"/>
              </w:rPr>
            </w:pPr>
            <w:r w:rsidRPr="002D7A86">
              <w:rPr>
                <w:rFonts w:ascii="Arial" w:hAnsi="Arial" w:cs="Arial"/>
              </w:rPr>
              <w:t xml:space="preserve">RAN4 thanks RAN2 for the Reply LS on BWP operation without bandwidth restriction. </w:t>
            </w:r>
            <w:r w:rsidRPr="002D7A86">
              <w:rPr>
                <w:rFonts w:ascii="Arial" w:hAnsi="Arial" w:cs="Arial"/>
                <w:lang w:val="en-US"/>
              </w:rPr>
              <w:t xml:space="preserve">RAN4 discussed the question in the reply LS </w:t>
            </w:r>
            <w:r w:rsidRPr="002D7A86">
              <w:rPr>
                <w:rFonts w:ascii="Arial" w:hAnsi="Arial" w:cs="Arial" w:hint="eastAsia"/>
                <w:lang w:val="en-US"/>
              </w:rPr>
              <w:t>in the RAN4#110 and RAN4#110bis meetings. F</w:t>
            </w:r>
            <w:r w:rsidRPr="002D7A86">
              <w:rPr>
                <w:rFonts w:ascii="Arial" w:hAnsi="Arial" w:cs="Arial"/>
                <w:lang w:val="en-US"/>
              </w:rPr>
              <w:t>ollowing conclusion was made.</w:t>
            </w:r>
          </w:p>
          <w:p w14:paraId="0BCFD03E" w14:textId="77777777" w:rsidR="002D7A86" w:rsidRPr="002D7A86" w:rsidRDefault="002D7A86" w:rsidP="002D7A86">
            <w:pPr>
              <w:suppressAutoHyphens/>
              <w:autoSpaceDN/>
              <w:adjustRightInd/>
              <w:rPr>
                <w:rFonts w:ascii="Arial" w:hAnsi="Arial" w:cs="Arial"/>
                <w:color w:val="000000"/>
                <w:lang w:val="en-US"/>
              </w:rPr>
            </w:pPr>
            <w:r w:rsidRPr="002D7A86">
              <w:rPr>
                <w:rFonts w:ascii="Arial" w:hAnsi="Arial" w:cs="Arial" w:hint="eastAsia"/>
                <w:color w:val="000000"/>
                <w:lang w:val="en-US"/>
              </w:rPr>
              <w:t>R</w:t>
            </w:r>
            <w:r w:rsidRPr="002D7A86">
              <w:rPr>
                <w:rFonts w:ascii="Arial" w:hAnsi="Arial" w:cs="Arial"/>
                <w:color w:val="000000"/>
                <w:lang w:val="en-US"/>
              </w:rPr>
              <w:t xml:space="preserve">egarding dual connectivity for UE supporting </w:t>
            </w:r>
            <w:r w:rsidRPr="002D7A86">
              <w:rPr>
                <w:i/>
                <w:iCs/>
              </w:rPr>
              <w:t>ncd-SSB-BWP-Wor-r18</w:t>
            </w:r>
            <w:r w:rsidRPr="002D7A86">
              <w:rPr>
                <w:rFonts w:ascii="Arial" w:hAnsi="Arial" w:cs="Arial"/>
                <w:color w:val="000000"/>
                <w:lang w:val="en-US"/>
              </w:rPr>
              <w:t>, the following scenario is supported from RAN4 requirement perspective</w:t>
            </w:r>
          </w:p>
          <w:p w14:paraId="03A932C5" w14:textId="42298855" w:rsidR="002D7A86" w:rsidRPr="002D7A86" w:rsidRDefault="002D7A86" w:rsidP="00406CD9">
            <w:pPr>
              <w:numPr>
                <w:ilvl w:val="0"/>
                <w:numId w:val="47"/>
              </w:numPr>
              <w:suppressAutoHyphens/>
              <w:overflowPunct/>
              <w:autoSpaceDE/>
              <w:autoSpaceDN/>
              <w:adjustRightInd/>
              <w:spacing w:after="120"/>
              <w:textAlignment w:val="auto"/>
              <w:rPr>
                <w:color w:val="000000"/>
                <w:szCs w:val="24"/>
                <w:lang w:val="en-US"/>
              </w:rPr>
            </w:pPr>
            <w:r w:rsidRPr="002D7A86">
              <w:rPr>
                <w:color w:val="000000"/>
                <w:szCs w:val="24"/>
                <w:lang w:val="en-US"/>
              </w:rPr>
              <w:t xml:space="preserve">For UE supporting option C and configured with EN-DC or NR-DC, NCD-SSB based L1 and L3 intra-frequency measurement requirements are also </w:t>
            </w:r>
            <w:r w:rsidRPr="002D7A86">
              <w:rPr>
                <w:color w:val="000000"/>
                <w:szCs w:val="24"/>
                <w:highlight w:val="yellow"/>
                <w:lang w:val="en-US"/>
              </w:rPr>
              <w:t xml:space="preserve">applicable for the </w:t>
            </w:r>
            <w:proofErr w:type="spellStart"/>
            <w:r w:rsidRPr="002D7A86">
              <w:rPr>
                <w:color w:val="000000"/>
                <w:szCs w:val="24"/>
                <w:highlight w:val="yellow"/>
                <w:lang w:val="en-US"/>
              </w:rPr>
              <w:t>PSCell</w:t>
            </w:r>
            <w:proofErr w:type="spellEnd"/>
            <w:r w:rsidRPr="002D7A86">
              <w:rPr>
                <w:color w:val="000000"/>
                <w:szCs w:val="24"/>
                <w:lang w:val="en-US"/>
              </w:rPr>
              <w:t>.</w:t>
            </w:r>
          </w:p>
        </w:tc>
      </w:tr>
    </w:tbl>
    <w:p w14:paraId="5F335783" w14:textId="77777777" w:rsidR="002D7A86" w:rsidRPr="00406CD9" w:rsidRDefault="002D7A86" w:rsidP="008348F3">
      <w:pPr>
        <w:spacing w:after="0"/>
      </w:pPr>
    </w:p>
    <w:p w14:paraId="5416866D" w14:textId="230F92C0" w:rsidR="005647B4" w:rsidRDefault="002D7A86" w:rsidP="002D7A86">
      <w:pPr>
        <w:rPr>
          <w:color w:val="000000"/>
        </w:rPr>
      </w:pPr>
      <w:r>
        <w:rPr>
          <w:rFonts w:hint="eastAsia"/>
        </w:rPr>
        <w:t>I</w:t>
      </w:r>
      <w:r w:rsidR="00E20A29">
        <w:t>n this contribution</w:t>
      </w:r>
      <w:r>
        <w:t>, we disc</w:t>
      </w:r>
      <w:r w:rsidR="00E20A29">
        <w:t>uss possible RAN2 specification</w:t>
      </w:r>
      <w:r>
        <w:t xml:space="preserve"> impacts.</w:t>
      </w:r>
    </w:p>
    <w:p w14:paraId="3FC2A83F" w14:textId="30C8B144" w:rsidR="000B1B5F" w:rsidRDefault="00585087" w:rsidP="005338DD">
      <w:pPr>
        <w:pStyle w:val="1"/>
        <w:spacing w:before="100" w:beforeAutospacing="1" w:after="100" w:afterAutospacing="1"/>
        <w:ind w:left="0" w:firstLine="0"/>
        <w:jc w:val="both"/>
      </w:pPr>
      <w:r>
        <w:t xml:space="preserve">2. </w:t>
      </w:r>
      <w:bookmarkStart w:id="4" w:name="OLE_LINK1"/>
      <w:bookmarkStart w:id="5" w:name="OLE_LINK2"/>
      <w:r w:rsidR="00EF2EEF">
        <w:t>D</w:t>
      </w:r>
      <w:r w:rsidR="000B1B5F">
        <w:t>iscussion</w:t>
      </w:r>
    </w:p>
    <w:p w14:paraId="5314A302" w14:textId="77777777" w:rsidR="00E20A29" w:rsidRPr="00E20A29" w:rsidRDefault="00E20A29" w:rsidP="00E20A29">
      <w:pPr>
        <w:pStyle w:val="af2"/>
        <w:keepNext/>
        <w:keepLines/>
        <w:numPr>
          <w:ilvl w:val="0"/>
          <w:numId w:val="48"/>
        </w:numPr>
        <w:spacing w:before="180" w:after="180"/>
        <w:jc w:val="left"/>
        <w:outlineLvl w:val="1"/>
        <w:rPr>
          <w:rFonts w:ascii="Arial" w:hAnsi="Arial" w:cs="Times New Roman"/>
          <w:vanish/>
          <w:sz w:val="32"/>
          <w:szCs w:val="20"/>
          <w:lang w:val="en-GB"/>
        </w:rPr>
      </w:pPr>
    </w:p>
    <w:p w14:paraId="75DF0371" w14:textId="77777777" w:rsidR="00E20A29" w:rsidRPr="00E20A29" w:rsidRDefault="00E20A29" w:rsidP="00E20A29">
      <w:pPr>
        <w:pStyle w:val="af2"/>
        <w:keepNext/>
        <w:keepLines/>
        <w:numPr>
          <w:ilvl w:val="0"/>
          <w:numId w:val="48"/>
        </w:numPr>
        <w:spacing w:before="180" w:after="180"/>
        <w:jc w:val="left"/>
        <w:outlineLvl w:val="1"/>
        <w:rPr>
          <w:rFonts w:ascii="Arial" w:hAnsi="Arial" w:cs="Times New Roman"/>
          <w:vanish/>
          <w:sz w:val="32"/>
          <w:szCs w:val="20"/>
          <w:lang w:val="en-GB"/>
        </w:rPr>
      </w:pPr>
    </w:p>
    <w:p w14:paraId="59957198" w14:textId="5EC2F8A8" w:rsidR="00E20A29" w:rsidRPr="00E20A29" w:rsidRDefault="00E20A29" w:rsidP="00E20A29">
      <w:pPr>
        <w:pStyle w:val="20"/>
        <w:numPr>
          <w:ilvl w:val="1"/>
          <w:numId w:val="48"/>
        </w:numPr>
        <w:ind w:left="567"/>
        <w:rPr>
          <w:sz w:val="28"/>
        </w:rPr>
      </w:pPr>
      <w:r>
        <w:rPr>
          <w:sz w:val="28"/>
        </w:rPr>
        <w:t>Restriction in RAN2 specification</w:t>
      </w:r>
    </w:p>
    <w:p w14:paraId="4CE305E8" w14:textId="39E8BCDC" w:rsidR="00B54383" w:rsidRDefault="00EC5C4D" w:rsidP="005338DD">
      <w:r>
        <w:t xml:space="preserve">Currently, there is no description captured in RAN2 spec (TS 38.300 and TS 38.331) that the NCD-SSB based L1/L3 measurements are only applicable for </w:t>
      </w:r>
      <w:proofErr w:type="spellStart"/>
      <w:r>
        <w:t>PCell</w:t>
      </w:r>
      <w:proofErr w:type="spellEnd"/>
      <w:r>
        <w:t xml:space="preserve"> and </w:t>
      </w:r>
      <w:proofErr w:type="spellStart"/>
      <w:r>
        <w:t>PSCell</w:t>
      </w:r>
      <w:proofErr w:type="spellEnd"/>
      <w:r>
        <w:t>.</w:t>
      </w:r>
    </w:p>
    <w:p w14:paraId="621F3B0A" w14:textId="5A0F90F2" w:rsidR="00ED2D7A" w:rsidRDefault="00EC5C4D" w:rsidP="005338DD">
      <w:r>
        <w:rPr>
          <w:rFonts w:hint="eastAsia"/>
        </w:rPr>
        <w:t>I</w:t>
      </w:r>
      <w:r>
        <w:t xml:space="preserve">n our view, such a restriction is </w:t>
      </w:r>
      <w:r w:rsidR="00ED2D7A">
        <w:t xml:space="preserve">still </w:t>
      </w:r>
      <w:r>
        <w:t xml:space="preserve">not needed </w:t>
      </w:r>
      <w:r w:rsidR="00A37A66">
        <w:t xml:space="preserve">in RAN2 </w:t>
      </w:r>
      <w:r>
        <w:t>even though</w:t>
      </w:r>
      <w:r w:rsidR="00ED2D7A">
        <w:t xml:space="preserve"> RAN4 has clarified the supported scenarios. </w:t>
      </w:r>
      <w:r w:rsidR="003A24CC">
        <w:t>Like the previous design for some existing features (e.g., CSI-RS based mobility measurement which was introduced in RAN2 in Rel-15 without corresponding requirements defined in RAN4), i</w:t>
      </w:r>
      <w:r w:rsidR="00A37A66">
        <w:t>n RAN2 specs, we define signalling and procedures for the feature, which is not necessarily to be coupled with RAN4. In other words, we can keep the RAN2 spec more open and the restriction will anyway be implemented based on the RAN4 spec.</w:t>
      </w:r>
      <w:r w:rsidR="003A24CC">
        <w:t xml:space="preserve"> Besides, </w:t>
      </w:r>
      <w:r w:rsidR="000021A7">
        <w:t xml:space="preserve">keeping no restriction in RAN2 is </w:t>
      </w:r>
      <w:r w:rsidR="000021A7" w:rsidRPr="000021A7">
        <w:t>better for</w:t>
      </w:r>
      <w:r w:rsidR="000021A7">
        <w:t xml:space="preserve"> possible extension in the</w:t>
      </w:r>
      <w:r w:rsidR="000021A7" w:rsidRPr="000021A7">
        <w:t xml:space="preserve"> future </w:t>
      </w:r>
      <w:r w:rsidR="000021A7">
        <w:t xml:space="preserve">in case RAN4 supports the scenario for </w:t>
      </w:r>
      <w:proofErr w:type="spellStart"/>
      <w:r w:rsidR="000021A7">
        <w:t>SCells</w:t>
      </w:r>
      <w:proofErr w:type="spellEnd"/>
      <w:r w:rsidR="000021A7">
        <w:t>.</w:t>
      </w:r>
    </w:p>
    <w:p w14:paraId="09FECB1D" w14:textId="4D87E210" w:rsidR="00564FD4" w:rsidRPr="003A24CC" w:rsidRDefault="00564FD4" w:rsidP="005338DD">
      <w:pPr>
        <w:rPr>
          <w:b/>
        </w:rPr>
      </w:pPr>
      <w:r w:rsidRPr="003A24CC">
        <w:rPr>
          <w:b/>
        </w:rPr>
        <w:t>Observation</w:t>
      </w:r>
      <w:r w:rsidR="00AC552F">
        <w:rPr>
          <w:b/>
        </w:rPr>
        <w:t xml:space="preserve"> 1</w:t>
      </w:r>
      <w:r w:rsidRPr="003A24CC">
        <w:rPr>
          <w:b/>
        </w:rPr>
        <w:t xml:space="preserve">: </w:t>
      </w:r>
      <w:r w:rsidR="003A24CC" w:rsidRPr="003A24CC">
        <w:rPr>
          <w:b/>
        </w:rPr>
        <w:t>RAN2 specifies the signalling and procedures for</w:t>
      </w:r>
      <w:r w:rsidR="003A24CC">
        <w:rPr>
          <w:b/>
        </w:rPr>
        <w:t xml:space="preserve"> the NCD-SSB based L1/L3 measurements, which is not necessarily to be coupled with the progress of defining requirements in RAN4.</w:t>
      </w:r>
    </w:p>
    <w:p w14:paraId="31636D8C" w14:textId="366D2891" w:rsidR="00B54383" w:rsidRPr="003A24CC" w:rsidRDefault="00564FD4" w:rsidP="005338DD">
      <w:pPr>
        <w:rPr>
          <w:b/>
        </w:rPr>
      </w:pPr>
      <w:r w:rsidRPr="003A24CC">
        <w:rPr>
          <w:b/>
        </w:rPr>
        <w:t>Proposal</w:t>
      </w:r>
      <w:r w:rsidR="00AC552F">
        <w:rPr>
          <w:b/>
        </w:rPr>
        <w:t xml:space="preserve"> 1</w:t>
      </w:r>
      <w:r w:rsidRPr="003A24CC">
        <w:rPr>
          <w:b/>
        </w:rPr>
        <w:t xml:space="preserve">: </w:t>
      </w:r>
      <w:r w:rsidR="003A24CC">
        <w:rPr>
          <w:b/>
        </w:rPr>
        <w:t xml:space="preserve">No restriction on the applicable scenarios for </w:t>
      </w:r>
      <w:r w:rsidR="00AC552F">
        <w:rPr>
          <w:b/>
        </w:rPr>
        <w:t xml:space="preserve">the </w:t>
      </w:r>
      <w:r w:rsidR="003A24CC">
        <w:rPr>
          <w:b/>
        </w:rPr>
        <w:t xml:space="preserve">NCD-SSB based L1/L3 measurement function is </w:t>
      </w:r>
      <w:r w:rsidR="00F04325">
        <w:rPr>
          <w:b/>
        </w:rPr>
        <w:t>introduced</w:t>
      </w:r>
      <w:r w:rsidR="003A24CC">
        <w:rPr>
          <w:b/>
        </w:rPr>
        <w:t xml:space="preserve"> in the RAN2 specification (TS 38.300 </w:t>
      </w:r>
      <w:r w:rsidR="000402ED">
        <w:rPr>
          <w:b/>
        </w:rPr>
        <w:t>or</w:t>
      </w:r>
      <w:r w:rsidR="003A24CC">
        <w:rPr>
          <w:b/>
        </w:rPr>
        <w:t xml:space="preserve"> TS 38.331)</w:t>
      </w:r>
      <w:r w:rsidRPr="003A24CC">
        <w:rPr>
          <w:b/>
        </w:rPr>
        <w:t>.</w:t>
      </w:r>
    </w:p>
    <w:p w14:paraId="53D041F8" w14:textId="6F393750" w:rsidR="00E20A29" w:rsidRPr="00E20A29" w:rsidRDefault="00E20A29" w:rsidP="00E20A29">
      <w:pPr>
        <w:pStyle w:val="20"/>
        <w:numPr>
          <w:ilvl w:val="1"/>
          <w:numId w:val="48"/>
        </w:numPr>
        <w:ind w:left="567"/>
        <w:rPr>
          <w:sz w:val="28"/>
        </w:rPr>
      </w:pPr>
      <w:r>
        <w:rPr>
          <w:sz w:val="28"/>
        </w:rPr>
        <w:t xml:space="preserve">UE capability for </w:t>
      </w:r>
      <w:proofErr w:type="spellStart"/>
      <w:r>
        <w:rPr>
          <w:sz w:val="28"/>
        </w:rPr>
        <w:t>PSCell</w:t>
      </w:r>
      <w:proofErr w:type="spellEnd"/>
    </w:p>
    <w:p w14:paraId="6600ACEC" w14:textId="771E1A49" w:rsidR="00E20A29" w:rsidRDefault="007A0E1B" w:rsidP="005338DD">
      <w:r>
        <w:t xml:space="preserve">As for the corresponding UE capability, a capability parameter </w:t>
      </w:r>
      <w:r w:rsidRPr="007A0E1B">
        <w:rPr>
          <w:i/>
        </w:rPr>
        <w:t>ncd-SSB-BWP-Wor-r18</w:t>
      </w:r>
      <w:r>
        <w:t xml:space="preserve"> is already defined in TS 38.306 </w:t>
      </w:r>
      <w:r w:rsidR="007C6701">
        <w:t>which</w:t>
      </w:r>
      <w:r>
        <w:t xml:space="preserve"> is restricted </w:t>
      </w:r>
      <w:r w:rsidR="0072430C">
        <w:t xml:space="preserve">to be applicable for </w:t>
      </w:r>
      <w:proofErr w:type="spellStart"/>
      <w:r w:rsidR="0072430C">
        <w:t>PCell</w:t>
      </w:r>
      <w:proofErr w:type="spellEnd"/>
      <w:r w:rsidR="0072430C">
        <w:t>.</w:t>
      </w:r>
    </w:p>
    <w:tbl>
      <w:tblPr>
        <w:tblStyle w:val="af6"/>
        <w:tblW w:w="0" w:type="auto"/>
        <w:tblLook w:val="04A0" w:firstRow="1" w:lastRow="0" w:firstColumn="1" w:lastColumn="0" w:noHBand="0" w:noVBand="1"/>
      </w:tblPr>
      <w:tblGrid>
        <w:gridCol w:w="9629"/>
      </w:tblGrid>
      <w:tr w:rsidR="0072430C" w14:paraId="2CF09F0B" w14:textId="77777777" w:rsidTr="0072430C">
        <w:tc>
          <w:tcPr>
            <w:tcW w:w="9629" w:type="dxa"/>
          </w:tcPr>
          <w:p w14:paraId="31961102" w14:textId="09CE36E9" w:rsidR="0072430C" w:rsidRPr="0072430C" w:rsidRDefault="0072430C" w:rsidP="005338DD">
            <w:pPr>
              <w:rPr>
                <w:b/>
              </w:rPr>
            </w:pPr>
            <w:r w:rsidRPr="0072430C">
              <w:rPr>
                <w:rFonts w:hint="eastAsia"/>
                <w:b/>
              </w:rPr>
              <w:lastRenderedPageBreak/>
              <w:t>T</w:t>
            </w:r>
            <w:r w:rsidRPr="0072430C">
              <w:rPr>
                <w:b/>
              </w:rPr>
              <w:t>S 38.306</w:t>
            </w:r>
            <w:r>
              <w:rPr>
                <w:b/>
              </w:rPr>
              <w:t>:</w:t>
            </w:r>
          </w:p>
          <w:tbl>
            <w:tblPr>
              <w:tblW w:w="92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625"/>
              <w:gridCol w:w="679"/>
              <w:gridCol w:w="543"/>
              <w:gridCol w:w="679"/>
              <w:gridCol w:w="697"/>
            </w:tblGrid>
            <w:tr w:rsidR="0072430C" w:rsidRPr="00CB570C" w14:paraId="5F0938D7" w14:textId="77777777" w:rsidTr="0072430C">
              <w:trPr>
                <w:cantSplit/>
                <w:trHeight w:val="2265"/>
                <w:tblHeader/>
              </w:trPr>
              <w:tc>
                <w:tcPr>
                  <w:tcW w:w="6625" w:type="dxa"/>
                  <w:tcBorders>
                    <w:top w:val="single" w:sz="4" w:space="0" w:color="808080"/>
                    <w:left w:val="single" w:sz="4" w:space="0" w:color="808080"/>
                    <w:bottom w:val="single" w:sz="4" w:space="0" w:color="808080"/>
                    <w:right w:val="single" w:sz="4" w:space="0" w:color="808080"/>
                  </w:tcBorders>
                </w:tcPr>
                <w:p w14:paraId="7A8690EB" w14:textId="77777777" w:rsidR="0072430C" w:rsidRPr="00CB570C" w:rsidRDefault="0072430C" w:rsidP="0072430C">
                  <w:pPr>
                    <w:pStyle w:val="TAL"/>
                    <w:rPr>
                      <w:b/>
                      <w:bCs/>
                      <w:i/>
                      <w:iCs/>
                    </w:rPr>
                  </w:pPr>
                  <w:r w:rsidRPr="00CB570C">
                    <w:rPr>
                      <w:b/>
                      <w:bCs/>
                      <w:i/>
                      <w:iCs/>
                    </w:rPr>
                    <w:t>ncd-SSB-BWP-Wor-r18</w:t>
                  </w:r>
                </w:p>
                <w:p w14:paraId="177275AB" w14:textId="77777777" w:rsidR="0072430C" w:rsidRPr="00CB570C" w:rsidRDefault="0072430C" w:rsidP="0072430C">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 xml:space="preserve">.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1D18E2FC" w14:textId="77777777" w:rsidR="0072430C" w:rsidRPr="00CB570C" w:rsidRDefault="0072430C" w:rsidP="0072430C">
                  <w:pPr>
                    <w:pStyle w:val="TAL"/>
                  </w:pPr>
                  <w:r w:rsidRPr="008348F3">
                    <w:rPr>
                      <w:highlight w:val="yellow"/>
                    </w:rPr>
                    <w:t xml:space="preserve">NOTE: this feature applies only to </w:t>
                  </w:r>
                  <w:proofErr w:type="spellStart"/>
                  <w:r w:rsidRPr="008348F3">
                    <w:rPr>
                      <w:highlight w:val="yellow"/>
                    </w:rPr>
                    <w:t>PCell</w:t>
                  </w:r>
                  <w:proofErr w:type="spellEnd"/>
                  <w:r w:rsidRPr="008348F3">
                    <w:rPr>
                      <w:highlight w:val="yellow"/>
                    </w:rPr>
                    <w:t>.</w:t>
                  </w:r>
                </w:p>
                <w:p w14:paraId="5EC8AA6C" w14:textId="77777777" w:rsidR="0072430C" w:rsidRPr="00CB570C" w:rsidRDefault="0072430C" w:rsidP="0072430C">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679" w:type="dxa"/>
                  <w:tcBorders>
                    <w:top w:val="single" w:sz="4" w:space="0" w:color="808080"/>
                    <w:left w:val="single" w:sz="4" w:space="0" w:color="808080"/>
                    <w:bottom w:val="single" w:sz="4" w:space="0" w:color="808080"/>
                    <w:right w:val="single" w:sz="4" w:space="0" w:color="808080"/>
                  </w:tcBorders>
                </w:tcPr>
                <w:p w14:paraId="533ED902" w14:textId="77777777" w:rsidR="0072430C" w:rsidRPr="00CB570C" w:rsidRDefault="0072430C" w:rsidP="0072430C">
                  <w:pPr>
                    <w:pStyle w:val="TAL"/>
                    <w:jc w:val="center"/>
                  </w:pPr>
                  <w:r w:rsidRPr="00CB570C">
                    <w:t>Band</w:t>
                  </w:r>
                </w:p>
              </w:tc>
              <w:tc>
                <w:tcPr>
                  <w:tcW w:w="543" w:type="dxa"/>
                  <w:tcBorders>
                    <w:top w:val="single" w:sz="4" w:space="0" w:color="808080"/>
                    <w:left w:val="single" w:sz="4" w:space="0" w:color="808080"/>
                    <w:bottom w:val="single" w:sz="4" w:space="0" w:color="808080"/>
                    <w:right w:val="single" w:sz="4" w:space="0" w:color="808080"/>
                  </w:tcBorders>
                </w:tcPr>
                <w:p w14:paraId="2D181185" w14:textId="77777777" w:rsidR="0072430C" w:rsidRPr="00CB570C" w:rsidRDefault="0072430C" w:rsidP="0072430C">
                  <w:pPr>
                    <w:pStyle w:val="TAL"/>
                    <w:jc w:val="center"/>
                  </w:pPr>
                  <w:r w:rsidRPr="00CB570C">
                    <w:t>No</w:t>
                  </w:r>
                </w:p>
              </w:tc>
              <w:tc>
                <w:tcPr>
                  <w:tcW w:w="679" w:type="dxa"/>
                  <w:tcBorders>
                    <w:top w:val="single" w:sz="4" w:space="0" w:color="808080"/>
                    <w:left w:val="single" w:sz="4" w:space="0" w:color="808080"/>
                    <w:bottom w:val="single" w:sz="4" w:space="0" w:color="808080"/>
                    <w:right w:val="single" w:sz="4" w:space="0" w:color="808080"/>
                  </w:tcBorders>
                </w:tcPr>
                <w:p w14:paraId="0F64F575" w14:textId="77777777" w:rsidR="0072430C" w:rsidRPr="00CB570C" w:rsidRDefault="0072430C" w:rsidP="0072430C">
                  <w:pPr>
                    <w:pStyle w:val="TAL"/>
                    <w:jc w:val="center"/>
                  </w:pPr>
                  <w:r w:rsidRPr="00CB570C">
                    <w:t>N/A</w:t>
                  </w:r>
                </w:p>
              </w:tc>
              <w:tc>
                <w:tcPr>
                  <w:tcW w:w="697" w:type="dxa"/>
                  <w:tcBorders>
                    <w:top w:val="single" w:sz="4" w:space="0" w:color="808080"/>
                    <w:left w:val="single" w:sz="4" w:space="0" w:color="808080"/>
                    <w:bottom w:val="single" w:sz="4" w:space="0" w:color="808080"/>
                    <w:right w:val="single" w:sz="4" w:space="0" w:color="808080"/>
                  </w:tcBorders>
                </w:tcPr>
                <w:p w14:paraId="2F2950B0" w14:textId="77777777" w:rsidR="0072430C" w:rsidRPr="00CB570C" w:rsidRDefault="0072430C" w:rsidP="0072430C">
                  <w:pPr>
                    <w:pStyle w:val="TAL"/>
                    <w:jc w:val="center"/>
                  </w:pPr>
                  <w:r w:rsidRPr="00CB570C">
                    <w:t>N/A</w:t>
                  </w:r>
                </w:p>
              </w:tc>
            </w:tr>
          </w:tbl>
          <w:p w14:paraId="4FB1FEBE" w14:textId="77777777" w:rsidR="0072430C" w:rsidRDefault="0072430C" w:rsidP="00781E94">
            <w:pPr>
              <w:spacing w:after="0"/>
            </w:pPr>
          </w:p>
          <w:p w14:paraId="438A5521" w14:textId="009364FE" w:rsidR="0072430C" w:rsidRDefault="0072430C" w:rsidP="00781E94">
            <w:pPr>
              <w:spacing w:after="0"/>
            </w:pPr>
          </w:p>
        </w:tc>
      </w:tr>
    </w:tbl>
    <w:p w14:paraId="103428E0" w14:textId="77777777" w:rsidR="0072430C" w:rsidRDefault="0072430C" w:rsidP="008348F3">
      <w:pPr>
        <w:spacing w:after="0"/>
      </w:pPr>
    </w:p>
    <w:p w14:paraId="19AD6777" w14:textId="77777777" w:rsidR="0001399D" w:rsidRDefault="008348F3" w:rsidP="005338DD">
      <w:r>
        <w:rPr>
          <w:rFonts w:hint="eastAsia"/>
        </w:rPr>
        <w:t>C</w:t>
      </w:r>
      <w:r>
        <w:t xml:space="preserve">onsidering that </w:t>
      </w:r>
      <w:r w:rsidR="00FE171B">
        <w:t xml:space="preserve">the applicable scenario is extended to </w:t>
      </w:r>
      <w:proofErr w:type="spellStart"/>
      <w:r w:rsidR="00FE171B">
        <w:t>PSCell</w:t>
      </w:r>
      <w:proofErr w:type="spellEnd"/>
      <w:r w:rsidR="00FE171B">
        <w:t>, the UE capability should be adapted accordingly.</w:t>
      </w:r>
      <w:r w:rsidR="000D7F90">
        <w:t xml:space="preserve"> One straightforward way is to modify the existing capability, i.e., update the NOTE highlighted above</w:t>
      </w:r>
      <w:r w:rsidR="0001399D">
        <w:t xml:space="preserve"> to include </w:t>
      </w:r>
      <w:proofErr w:type="spellStart"/>
      <w:r w:rsidR="0001399D">
        <w:t>PSCell</w:t>
      </w:r>
      <w:proofErr w:type="spellEnd"/>
      <w:r w:rsidR="0001399D">
        <w:t>.</w:t>
      </w:r>
    </w:p>
    <w:p w14:paraId="5C2677E1" w14:textId="111DE75D" w:rsidR="008348F3" w:rsidRDefault="0001399D" w:rsidP="005338DD">
      <w:r>
        <w:rPr>
          <w:rFonts w:hint="eastAsia"/>
        </w:rPr>
        <w:t>H</w:t>
      </w:r>
      <w:r>
        <w:t>owever, we think a better way is to introduce a new capability paramet</w:t>
      </w:r>
      <w:r w:rsidR="00345572">
        <w:t xml:space="preserve">er for </w:t>
      </w:r>
      <w:proofErr w:type="spellStart"/>
      <w:r w:rsidR="00345572">
        <w:t>PSCell</w:t>
      </w:r>
      <w:proofErr w:type="spellEnd"/>
      <w:r w:rsidR="00345572">
        <w:t>, which provides flexibility for UE implementation to decide whether the NCD-SSB based L1/L3 measuremen</w:t>
      </w:r>
      <w:r w:rsidR="00DF6E53">
        <w:t xml:space="preserve">ts can be supported for </w:t>
      </w:r>
      <w:proofErr w:type="spellStart"/>
      <w:r w:rsidR="00DF6E53">
        <w:t>PCell</w:t>
      </w:r>
      <w:proofErr w:type="spellEnd"/>
      <w:r w:rsidR="00DF6E53">
        <w:t xml:space="preserve"> and</w:t>
      </w:r>
      <w:r w:rsidR="00345572">
        <w:t xml:space="preserve"> </w:t>
      </w:r>
      <w:proofErr w:type="spellStart"/>
      <w:r w:rsidR="00345572">
        <w:t>PSCell</w:t>
      </w:r>
      <w:proofErr w:type="spellEnd"/>
      <w:r w:rsidR="00345572">
        <w:t xml:space="preserve"> respectively.</w:t>
      </w:r>
    </w:p>
    <w:p w14:paraId="2D61136D" w14:textId="0C985647" w:rsidR="007146DD" w:rsidRDefault="00D67055" w:rsidP="005338DD">
      <w:r>
        <w:t>C</w:t>
      </w:r>
      <w:r w:rsidR="007146DD">
        <w:t xml:space="preserve">orresponding </w:t>
      </w:r>
      <w:r>
        <w:t xml:space="preserve">38.331 and 38.306 </w:t>
      </w:r>
      <w:r w:rsidR="007146DD">
        <w:t>CR</w:t>
      </w:r>
      <w:r>
        <w:t>s</w:t>
      </w:r>
      <w:r w:rsidR="007146DD">
        <w:t xml:space="preserve"> </w:t>
      </w:r>
      <w:r>
        <w:t>are</w:t>
      </w:r>
      <w:r w:rsidR="007146DD">
        <w:t xml:space="preserve"> provided in [2]</w:t>
      </w:r>
      <w:r>
        <w:t>[3]</w:t>
      </w:r>
      <w:r w:rsidR="007146DD">
        <w:t>.</w:t>
      </w:r>
    </w:p>
    <w:p w14:paraId="0B80520E" w14:textId="73581BB7" w:rsidR="00345572" w:rsidRPr="003A24CC" w:rsidRDefault="00345572" w:rsidP="00345572">
      <w:pPr>
        <w:rPr>
          <w:b/>
        </w:rPr>
      </w:pPr>
      <w:r w:rsidRPr="003A24CC">
        <w:rPr>
          <w:b/>
        </w:rPr>
        <w:t>Observation</w:t>
      </w:r>
      <w:r w:rsidR="001B4DD7">
        <w:rPr>
          <w:b/>
        </w:rPr>
        <w:t xml:space="preserve"> 2</w:t>
      </w:r>
      <w:r w:rsidRPr="003A24CC">
        <w:rPr>
          <w:b/>
        </w:rPr>
        <w:t xml:space="preserve">: </w:t>
      </w:r>
      <w:r w:rsidR="001B4DD7">
        <w:rPr>
          <w:b/>
        </w:rPr>
        <w:t xml:space="preserve">A new UE capability for the NCD-SSB based L1/L3 measurement function for </w:t>
      </w:r>
      <w:proofErr w:type="spellStart"/>
      <w:r w:rsidR="001B4DD7">
        <w:rPr>
          <w:b/>
        </w:rPr>
        <w:t>PSCell</w:t>
      </w:r>
      <w:proofErr w:type="spellEnd"/>
      <w:r w:rsidR="001B4DD7">
        <w:rPr>
          <w:b/>
        </w:rPr>
        <w:t xml:space="preserve"> provides flexibility for UE implementation</w:t>
      </w:r>
      <w:r>
        <w:rPr>
          <w:b/>
        </w:rPr>
        <w:t>.</w:t>
      </w:r>
    </w:p>
    <w:p w14:paraId="54D89284" w14:textId="7BDF1853" w:rsidR="00345572" w:rsidRPr="003A24CC" w:rsidRDefault="00345572" w:rsidP="00345572">
      <w:pPr>
        <w:rPr>
          <w:b/>
        </w:rPr>
      </w:pPr>
      <w:r w:rsidRPr="003A24CC">
        <w:rPr>
          <w:b/>
        </w:rPr>
        <w:t>Proposal</w:t>
      </w:r>
      <w:r w:rsidR="00B2724E">
        <w:rPr>
          <w:b/>
        </w:rPr>
        <w:t xml:space="preserve"> 2</w:t>
      </w:r>
      <w:r w:rsidRPr="003A24CC">
        <w:rPr>
          <w:b/>
        </w:rPr>
        <w:t xml:space="preserve">: </w:t>
      </w:r>
      <w:r w:rsidR="00B2724E">
        <w:rPr>
          <w:b/>
        </w:rPr>
        <w:t xml:space="preserve">Introduce a new UE capability for the NCD-SSB based L1/L3 measurement function for </w:t>
      </w:r>
      <w:proofErr w:type="spellStart"/>
      <w:r w:rsidR="00B2724E">
        <w:rPr>
          <w:b/>
        </w:rPr>
        <w:t>PSCell</w:t>
      </w:r>
      <w:proofErr w:type="spellEnd"/>
      <w:r w:rsidRPr="003A24CC">
        <w:rPr>
          <w:b/>
        </w:rPr>
        <w:t>.</w:t>
      </w:r>
    </w:p>
    <w:bookmarkEnd w:id="4"/>
    <w:bookmarkEnd w:id="5"/>
    <w:p w14:paraId="1B4B23D7" w14:textId="77777777" w:rsidR="00A361EF" w:rsidRDefault="00A361EF" w:rsidP="00644242">
      <w:pPr>
        <w:pStyle w:val="1"/>
        <w:spacing w:before="100" w:beforeAutospacing="1" w:after="100" w:afterAutospacing="1"/>
        <w:ind w:left="0" w:firstLine="0"/>
        <w:jc w:val="both"/>
      </w:pPr>
      <w:r>
        <w:rPr>
          <w:rFonts w:hint="eastAsia"/>
        </w:rPr>
        <w:t>3</w:t>
      </w:r>
      <w:r>
        <w:t>. Conclusion</w:t>
      </w:r>
    </w:p>
    <w:p w14:paraId="2CAA9F49" w14:textId="5241AFB1" w:rsidR="000A69BC" w:rsidRDefault="00E741D0" w:rsidP="005E4DB2">
      <w:pPr>
        <w:spacing w:before="100" w:beforeAutospacing="1" w:after="100" w:afterAutospacing="1"/>
        <w:jc w:val="both"/>
        <w:rPr>
          <w:lang w:val="en-US"/>
        </w:rPr>
      </w:pPr>
      <w:r w:rsidRPr="00E741D0">
        <w:rPr>
          <w:lang w:val="en-US"/>
        </w:rPr>
        <w:t xml:space="preserve">In this contribution, we discuss the </w:t>
      </w:r>
      <w:r>
        <w:rPr>
          <w:lang w:val="en-US"/>
        </w:rPr>
        <w:t xml:space="preserve">RAN2 impacts for </w:t>
      </w:r>
      <w:r w:rsidRPr="00E741D0">
        <w:rPr>
          <w:lang w:val="en-US"/>
        </w:rPr>
        <w:t xml:space="preserve">BWP operation without bandwidth restriction for </w:t>
      </w:r>
      <w:proofErr w:type="spellStart"/>
      <w:r w:rsidRPr="00E741D0">
        <w:rPr>
          <w:lang w:val="en-US"/>
        </w:rPr>
        <w:t>PSCell</w:t>
      </w:r>
      <w:proofErr w:type="spellEnd"/>
      <w:r w:rsidRPr="00E741D0">
        <w:rPr>
          <w:lang w:val="en-US"/>
        </w:rPr>
        <w:t xml:space="preserve">. </w:t>
      </w:r>
      <w:r>
        <w:rPr>
          <w:lang w:val="en-US"/>
        </w:rPr>
        <w:t>O</w:t>
      </w:r>
      <w:r w:rsidRPr="00E741D0">
        <w:rPr>
          <w:lang w:val="en-US"/>
        </w:rPr>
        <w:t>bservation</w:t>
      </w:r>
      <w:r>
        <w:rPr>
          <w:lang w:val="en-US"/>
        </w:rPr>
        <w:t>s</w:t>
      </w:r>
      <w:r w:rsidRPr="00E741D0">
        <w:rPr>
          <w:lang w:val="en-US"/>
        </w:rPr>
        <w:t xml:space="preserve"> and proposal</w:t>
      </w:r>
      <w:r>
        <w:rPr>
          <w:lang w:val="en-US"/>
        </w:rPr>
        <w:t>s</w:t>
      </w:r>
      <w:r w:rsidRPr="00E741D0">
        <w:rPr>
          <w:lang w:val="en-US"/>
        </w:rPr>
        <w:t xml:space="preserve"> are summarized below.</w:t>
      </w:r>
    </w:p>
    <w:p w14:paraId="5B76AA5B" w14:textId="77777777" w:rsidR="002F3784" w:rsidRPr="003A24CC" w:rsidRDefault="002F3784" w:rsidP="002F3784">
      <w:pPr>
        <w:rPr>
          <w:b/>
        </w:rPr>
      </w:pPr>
      <w:r w:rsidRPr="003A24CC">
        <w:rPr>
          <w:b/>
        </w:rPr>
        <w:t>Observation</w:t>
      </w:r>
      <w:r>
        <w:rPr>
          <w:b/>
        </w:rPr>
        <w:t xml:space="preserve"> 1</w:t>
      </w:r>
      <w:r w:rsidRPr="003A24CC">
        <w:rPr>
          <w:b/>
        </w:rPr>
        <w:t>: RAN2 specifies the signalling and procedures for</w:t>
      </w:r>
      <w:r>
        <w:rPr>
          <w:b/>
        </w:rPr>
        <w:t xml:space="preserve"> the NCD-SSB based L1/L3 measurements, which is not necessarily to be coupled with the progress of defining requirements in RAN4.</w:t>
      </w:r>
    </w:p>
    <w:p w14:paraId="72724317" w14:textId="77777777" w:rsidR="002F3784" w:rsidRDefault="002F3784" w:rsidP="002F3784">
      <w:pPr>
        <w:rPr>
          <w:b/>
        </w:rPr>
      </w:pPr>
      <w:r w:rsidRPr="003A24CC">
        <w:rPr>
          <w:b/>
        </w:rPr>
        <w:t>Proposal</w:t>
      </w:r>
      <w:r>
        <w:rPr>
          <w:b/>
        </w:rPr>
        <w:t xml:space="preserve"> 1</w:t>
      </w:r>
      <w:r w:rsidRPr="003A24CC">
        <w:rPr>
          <w:b/>
        </w:rPr>
        <w:t xml:space="preserve">: </w:t>
      </w:r>
      <w:r>
        <w:rPr>
          <w:b/>
        </w:rPr>
        <w:t>No restriction on the applicable scenarios for the NCD-SSB based L1/L3 measurement function is introduced in the RAN2 specification (TS 38.300 and TS 38.331)</w:t>
      </w:r>
      <w:r w:rsidRPr="003A24CC">
        <w:rPr>
          <w:b/>
        </w:rPr>
        <w:t>.</w:t>
      </w:r>
    </w:p>
    <w:p w14:paraId="366422EB" w14:textId="77777777" w:rsidR="002F3784" w:rsidRPr="003A24CC" w:rsidRDefault="002F3784" w:rsidP="002F3784">
      <w:pPr>
        <w:rPr>
          <w:b/>
        </w:rPr>
      </w:pPr>
      <w:r w:rsidRPr="003A24CC">
        <w:rPr>
          <w:b/>
        </w:rPr>
        <w:t>Observation</w:t>
      </w:r>
      <w:r>
        <w:rPr>
          <w:b/>
        </w:rPr>
        <w:t xml:space="preserve"> 2</w:t>
      </w:r>
      <w:r w:rsidRPr="003A24CC">
        <w:rPr>
          <w:b/>
        </w:rPr>
        <w:t xml:space="preserve">: </w:t>
      </w:r>
      <w:r>
        <w:rPr>
          <w:b/>
        </w:rPr>
        <w:t xml:space="preserve">A new UE capability for the NCD-SSB based L1/L3 measurement function for </w:t>
      </w:r>
      <w:proofErr w:type="spellStart"/>
      <w:r>
        <w:rPr>
          <w:b/>
        </w:rPr>
        <w:t>PSCell</w:t>
      </w:r>
      <w:proofErr w:type="spellEnd"/>
      <w:r>
        <w:rPr>
          <w:b/>
        </w:rPr>
        <w:t xml:space="preserve"> provides flexibility for UE implementation.</w:t>
      </w:r>
    </w:p>
    <w:p w14:paraId="3A9C5B1A" w14:textId="77777777" w:rsidR="002F3784" w:rsidRPr="003A24CC" w:rsidRDefault="002F3784" w:rsidP="002F3784">
      <w:pPr>
        <w:rPr>
          <w:b/>
        </w:rPr>
      </w:pPr>
      <w:r w:rsidRPr="003A24CC">
        <w:rPr>
          <w:b/>
        </w:rPr>
        <w:t>Proposal</w:t>
      </w:r>
      <w:r>
        <w:rPr>
          <w:b/>
        </w:rPr>
        <w:t xml:space="preserve"> 2</w:t>
      </w:r>
      <w:r w:rsidRPr="003A24CC">
        <w:rPr>
          <w:b/>
        </w:rPr>
        <w:t xml:space="preserve">: </w:t>
      </w:r>
      <w:r>
        <w:rPr>
          <w:b/>
        </w:rPr>
        <w:t xml:space="preserve">Introduce a new UE capability for the NCD-SSB based L1/L3 measurement function for </w:t>
      </w:r>
      <w:proofErr w:type="spellStart"/>
      <w:r>
        <w:rPr>
          <w:b/>
        </w:rPr>
        <w:t>PSCell</w:t>
      </w:r>
      <w:proofErr w:type="spellEnd"/>
      <w:r w:rsidRPr="003A24CC">
        <w:rPr>
          <w:b/>
        </w:rPr>
        <w:t>.</w:t>
      </w:r>
    </w:p>
    <w:p w14:paraId="60F422F8" w14:textId="4C7A5ADA" w:rsidR="00555CD2" w:rsidRDefault="00555CD2" w:rsidP="0046531D">
      <w:pPr>
        <w:pStyle w:val="1"/>
        <w:ind w:left="0" w:firstLine="0"/>
        <w:jc w:val="both"/>
      </w:pPr>
      <w:r>
        <w:t>4. Reference</w:t>
      </w:r>
    </w:p>
    <w:p w14:paraId="5F3D7A0A" w14:textId="2D73F62F" w:rsidR="00555CD2" w:rsidRDefault="00996EC9" w:rsidP="00555CD2">
      <w:pPr>
        <w:jc w:val="both"/>
      </w:pPr>
      <w:r>
        <w:t>[1]</w:t>
      </w:r>
      <w:r w:rsidR="00555CD2">
        <w:t xml:space="preserve"> </w:t>
      </w:r>
      <w:r w:rsidRPr="00996EC9">
        <w:t>R4-2406500</w:t>
      </w:r>
      <w:r>
        <w:t xml:space="preserve">, </w:t>
      </w:r>
      <w:r w:rsidRPr="00996EC9">
        <w:t>Reply LS on BWP operation without bandwidth restriction</w:t>
      </w:r>
      <w:r>
        <w:t>.</w:t>
      </w:r>
    </w:p>
    <w:p w14:paraId="2BAFD502" w14:textId="4A8BD849" w:rsidR="007146DD" w:rsidRDefault="007146DD" w:rsidP="00555CD2">
      <w:pPr>
        <w:jc w:val="both"/>
      </w:pPr>
      <w:r>
        <w:rPr>
          <w:rFonts w:hint="eastAsia"/>
        </w:rPr>
        <w:t>[</w:t>
      </w:r>
      <w:r>
        <w:t>2] R2-24</w:t>
      </w:r>
      <w:r w:rsidR="00D67055">
        <w:t>05516</w:t>
      </w:r>
      <w:r>
        <w:t xml:space="preserve">, Introduction of UE capability for </w:t>
      </w:r>
      <w:r w:rsidRPr="007146DD">
        <w:t xml:space="preserve">BWP operation without bandwidth restriction for </w:t>
      </w:r>
      <w:proofErr w:type="spellStart"/>
      <w:r w:rsidRPr="007146DD">
        <w:t>PSCell</w:t>
      </w:r>
      <w:proofErr w:type="spellEnd"/>
      <w:r>
        <w:t>.</w:t>
      </w:r>
    </w:p>
    <w:p w14:paraId="71F54A86" w14:textId="4784C12E" w:rsidR="00D67055" w:rsidRDefault="00D67055" w:rsidP="00555CD2">
      <w:pPr>
        <w:jc w:val="both"/>
        <w:rPr>
          <w:rFonts w:hint="eastAsia"/>
        </w:rPr>
      </w:pPr>
      <w:r>
        <w:rPr>
          <w:rFonts w:hint="eastAsia"/>
        </w:rPr>
        <w:t>[</w:t>
      </w:r>
      <w:r>
        <w:t>3</w:t>
      </w:r>
      <w:r>
        <w:t>] R2-240551</w:t>
      </w:r>
      <w:r>
        <w:t>7</w:t>
      </w:r>
      <w:r>
        <w:t xml:space="preserve">, Introduction of UE capability for </w:t>
      </w:r>
      <w:r w:rsidRPr="007146DD">
        <w:t>BWP operation without bandwidth rest</w:t>
      </w:r>
      <w:bookmarkStart w:id="6" w:name="_GoBack"/>
      <w:bookmarkEnd w:id="6"/>
      <w:r w:rsidRPr="007146DD">
        <w:t xml:space="preserve">riction for </w:t>
      </w:r>
      <w:proofErr w:type="spellStart"/>
      <w:r w:rsidRPr="007146DD">
        <w:t>PSCell</w:t>
      </w:r>
      <w:proofErr w:type="spellEnd"/>
    </w:p>
    <w:sectPr w:rsidR="00D67055" w:rsidSect="005338DD">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9BD8" w16cex:dateUtc="2024-04-02T06:59:00Z"/>
  <w16cex:commentExtensible w16cex:durableId="29B69C6F" w16cex:dateUtc="2024-04-02T0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7B554" w14:textId="77777777" w:rsidR="0075452C" w:rsidRDefault="0075452C">
      <w:r>
        <w:separator/>
      </w:r>
    </w:p>
  </w:endnote>
  <w:endnote w:type="continuationSeparator" w:id="0">
    <w:p w14:paraId="0D2BBB02" w14:textId="77777777" w:rsidR="0075452C" w:rsidRDefault="0075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Ericsson Hilda">
    <w:altName w:val="Calibri"/>
    <w:charset w:val="00"/>
    <w:family w:val="auto"/>
    <w:pitch w:val="default"/>
    <w:sig w:usb0="00000000"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A1D3D" w14:textId="77777777" w:rsidR="0075452C" w:rsidRDefault="0075452C">
      <w:r>
        <w:separator/>
      </w:r>
    </w:p>
  </w:footnote>
  <w:footnote w:type="continuationSeparator" w:id="0">
    <w:p w14:paraId="314CE3F9" w14:textId="77777777" w:rsidR="0075452C" w:rsidRDefault="00754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0.75pt;height:10.7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CC51DB"/>
    <w:multiLevelType w:val="hybridMultilevel"/>
    <w:tmpl w:val="4FF86458"/>
    <w:lvl w:ilvl="0" w:tplc="54E8C5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E3A78F4"/>
    <w:multiLevelType w:val="hybridMultilevel"/>
    <w:tmpl w:val="5A5A9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4"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495DD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5"/>
  </w:num>
  <w:num w:numId="2">
    <w:abstractNumId w:val="2"/>
  </w:num>
  <w:num w:numId="3">
    <w:abstractNumId w:val="11"/>
  </w:num>
  <w:num w:numId="4">
    <w:abstractNumId w:val="33"/>
  </w:num>
  <w:num w:numId="5">
    <w:abstractNumId w:val="33"/>
    <w:lvlOverride w:ilvl="0">
      <w:startOverride w:val="1"/>
    </w:lvlOverride>
  </w:num>
  <w:num w:numId="6">
    <w:abstractNumId w:val="33"/>
    <w:lvlOverride w:ilvl="0">
      <w:startOverride w:val="1"/>
    </w:lvlOverride>
  </w:num>
  <w:num w:numId="7">
    <w:abstractNumId w:val="9"/>
  </w:num>
  <w:num w:numId="8">
    <w:abstractNumId w:val="34"/>
  </w:num>
  <w:num w:numId="9">
    <w:abstractNumId w:val="24"/>
  </w:num>
  <w:num w:numId="10">
    <w:abstractNumId w:val="29"/>
  </w:num>
  <w:num w:numId="11">
    <w:abstractNumId w:val="33"/>
  </w:num>
  <w:num w:numId="12">
    <w:abstractNumId w:val="28"/>
  </w:num>
  <w:num w:numId="13">
    <w:abstractNumId w:val="3"/>
  </w:num>
  <w:num w:numId="14">
    <w:abstractNumId w:val="38"/>
  </w:num>
  <w:num w:numId="15">
    <w:abstractNumId w:val="19"/>
  </w:num>
  <w:num w:numId="16">
    <w:abstractNumId w:val="10"/>
  </w:num>
  <w:num w:numId="17">
    <w:abstractNumId w:val="33"/>
  </w:num>
  <w:num w:numId="18">
    <w:abstractNumId w:val="23"/>
  </w:num>
  <w:num w:numId="19">
    <w:abstractNumId w:val="30"/>
  </w:num>
  <w:num w:numId="20">
    <w:abstractNumId w:val="35"/>
  </w:num>
  <w:num w:numId="21">
    <w:abstractNumId w:val="35"/>
  </w:num>
  <w:num w:numId="22">
    <w:abstractNumId w:val="33"/>
  </w:num>
  <w:num w:numId="23">
    <w:abstractNumId w:val="7"/>
  </w:num>
  <w:num w:numId="24">
    <w:abstractNumId w:val="15"/>
  </w:num>
  <w:num w:numId="25">
    <w:abstractNumId w:val="26"/>
  </w:num>
  <w:num w:numId="26">
    <w:abstractNumId w:val="1"/>
  </w:num>
  <w:num w:numId="27">
    <w:abstractNumId w:val="16"/>
  </w:num>
  <w:num w:numId="28">
    <w:abstractNumId w:val="27"/>
  </w:num>
  <w:num w:numId="29">
    <w:abstractNumId w:val="37"/>
  </w:num>
  <w:num w:numId="30">
    <w:abstractNumId w:val="36"/>
  </w:num>
  <w:num w:numId="31">
    <w:abstractNumId w:val="8"/>
  </w:num>
  <w:num w:numId="32">
    <w:abstractNumId w:val="17"/>
  </w:num>
  <w:num w:numId="33">
    <w:abstractNumId w:val="20"/>
  </w:num>
  <w:num w:numId="34">
    <w:abstractNumId w:val="21"/>
  </w:num>
  <w:num w:numId="35">
    <w:abstractNumId w:val="35"/>
  </w:num>
  <w:num w:numId="36">
    <w:abstractNumId w:val="32"/>
  </w:num>
  <w:num w:numId="37">
    <w:abstractNumId w:val="13"/>
  </w:num>
  <w:num w:numId="38">
    <w:abstractNumId w:val="0"/>
  </w:num>
  <w:num w:numId="39">
    <w:abstractNumId w:val="6"/>
  </w:num>
  <w:num w:numId="40">
    <w:abstractNumId w:val="4"/>
  </w:num>
  <w:num w:numId="41">
    <w:abstractNumId w:val="5"/>
  </w:num>
  <w:num w:numId="42">
    <w:abstractNumId w:val="12"/>
  </w:num>
  <w:num w:numId="43">
    <w:abstractNumId w:val="18"/>
  </w:num>
  <w:num w:numId="44">
    <w:abstractNumId w:val="14"/>
  </w:num>
  <w:num w:numId="45">
    <w:abstractNumId w:val="25"/>
  </w:num>
  <w:num w:numId="46">
    <w:abstractNumId w:val="31"/>
  </w:num>
  <w:num w:numId="47">
    <w:abstractNumId w:val="22"/>
  </w:num>
  <w:num w:numId="48">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1A7"/>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399D"/>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0C9B"/>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4CC"/>
    <w:rsid w:val="000358F6"/>
    <w:rsid w:val="00035F87"/>
    <w:rsid w:val="0003636E"/>
    <w:rsid w:val="000367FC"/>
    <w:rsid w:val="0003693A"/>
    <w:rsid w:val="00036D80"/>
    <w:rsid w:val="0003775C"/>
    <w:rsid w:val="00037A10"/>
    <w:rsid w:val="00037BF2"/>
    <w:rsid w:val="000401DB"/>
    <w:rsid w:val="000402ED"/>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7E8"/>
    <w:rsid w:val="0008787D"/>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D7F90"/>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3A"/>
    <w:rsid w:val="001471FF"/>
    <w:rsid w:val="001475A0"/>
    <w:rsid w:val="00147B71"/>
    <w:rsid w:val="0015036E"/>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88E"/>
    <w:rsid w:val="001B2A55"/>
    <w:rsid w:val="001B2D04"/>
    <w:rsid w:val="001B2EFA"/>
    <w:rsid w:val="001B38C2"/>
    <w:rsid w:val="001B4002"/>
    <w:rsid w:val="001B4222"/>
    <w:rsid w:val="001B469F"/>
    <w:rsid w:val="001B4999"/>
    <w:rsid w:val="001B4DD7"/>
    <w:rsid w:val="001B4DDB"/>
    <w:rsid w:val="001B5A10"/>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215"/>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A86"/>
    <w:rsid w:val="002E0C86"/>
    <w:rsid w:val="002E18AB"/>
    <w:rsid w:val="002E35DE"/>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3784"/>
    <w:rsid w:val="002F3DD8"/>
    <w:rsid w:val="002F428A"/>
    <w:rsid w:val="002F44FF"/>
    <w:rsid w:val="002F4C23"/>
    <w:rsid w:val="002F59FF"/>
    <w:rsid w:val="002F5DF0"/>
    <w:rsid w:val="002F68DF"/>
    <w:rsid w:val="002F701C"/>
    <w:rsid w:val="002F7792"/>
    <w:rsid w:val="002F7839"/>
    <w:rsid w:val="002F7E27"/>
    <w:rsid w:val="003000B7"/>
    <w:rsid w:val="00300643"/>
    <w:rsid w:val="0030199C"/>
    <w:rsid w:val="00301AF0"/>
    <w:rsid w:val="00301CC1"/>
    <w:rsid w:val="00301FEA"/>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3C5A"/>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572"/>
    <w:rsid w:val="00345B6D"/>
    <w:rsid w:val="003463B7"/>
    <w:rsid w:val="0034658B"/>
    <w:rsid w:val="003465DB"/>
    <w:rsid w:val="00346F41"/>
    <w:rsid w:val="0035097A"/>
    <w:rsid w:val="00351BCF"/>
    <w:rsid w:val="00351ECB"/>
    <w:rsid w:val="00352943"/>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A078C"/>
    <w:rsid w:val="003A0E18"/>
    <w:rsid w:val="003A1161"/>
    <w:rsid w:val="003A133E"/>
    <w:rsid w:val="003A1D8C"/>
    <w:rsid w:val="003A1D90"/>
    <w:rsid w:val="003A24CC"/>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13C"/>
    <w:rsid w:val="00405C2A"/>
    <w:rsid w:val="00406251"/>
    <w:rsid w:val="0040642E"/>
    <w:rsid w:val="00406789"/>
    <w:rsid w:val="00406CD9"/>
    <w:rsid w:val="00406E45"/>
    <w:rsid w:val="00407462"/>
    <w:rsid w:val="004101DA"/>
    <w:rsid w:val="0041066C"/>
    <w:rsid w:val="00410951"/>
    <w:rsid w:val="004109EA"/>
    <w:rsid w:val="00410FB8"/>
    <w:rsid w:val="0041107A"/>
    <w:rsid w:val="00411CD9"/>
    <w:rsid w:val="004121EE"/>
    <w:rsid w:val="0041227C"/>
    <w:rsid w:val="004122DB"/>
    <w:rsid w:val="00412438"/>
    <w:rsid w:val="0041269C"/>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170"/>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38DD"/>
    <w:rsid w:val="00534058"/>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D4"/>
    <w:rsid w:val="00565367"/>
    <w:rsid w:val="005666A1"/>
    <w:rsid w:val="00567C76"/>
    <w:rsid w:val="00570DB7"/>
    <w:rsid w:val="00570E76"/>
    <w:rsid w:val="00570F75"/>
    <w:rsid w:val="00571D59"/>
    <w:rsid w:val="0057205B"/>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0F36"/>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5A73"/>
    <w:rsid w:val="006160F2"/>
    <w:rsid w:val="00616F95"/>
    <w:rsid w:val="00617818"/>
    <w:rsid w:val="00617EDA"/>
    <w:rsid w:val="00617F25"/>
    <w:rsid w:val="0062026E"/>
    <w:rsid w:val="0062079E"/>
    <w:rsid w:val="00620CF5"/>
    <w:rsid w:val="00621188"/>
    <w:rsid w:val="00621B23"/>
    <w:rsid w:val="006226A6"/>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242"/>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05D"/>
    <w:rsid w:val="00657FDE"/>
    <w:rsid w:val="006600ED"/>
    <w:rsid w:val="0066109E"/>
    <w:rsid w:val="006615BA"/>
    <w:rsid w:val="00661855"/>
    <w:rsid w:val="006622D0"/>
    <w:rsid w:val="00662393"/>
    <w:rsid w:val="0066274F"/>
    <w:rsid w:val="00662E18"/>
    <w:rsid w:val="0066311D"/>
    <w:rsid w:val="0066363B"/>
    <w:rsid w:val="00663872"/>
    <w:rsid w:val="00663BF3"/>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363"/>
    <w:rsid w:val="006D48C7"/>
    <w:rsid w:val="006D4B82"/>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6C3"/>
    <w:rsid w:val="006E5B92"/>
    <w:rsid w:val="006E6B48"/>
    <w:rsid w:val="006E724F"/>
    <w:rsid w:val="006E7476"/>
    <w:rsid w:val="006E7D32"/>
    <w:rsid w:val="006F0449"/>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6DD"/>
    <w:rsid w:val="007149FF"/>
    <w:rsid w:val="00716936"/>
    <w:rsid w:val="00716A64"/>
    <w:rsid w:val="007170B4"/>
    <w:rsid w:val="00717D1F"/>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430C"/>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452C"/>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80BEB"/>
    <w:rsid w:val="00780D0A"/>
    <w:rsid w:val="00780F0C"/>
    <w:rsid w:val="00781BD1"/>
    <w:rsid w:val="00781E94"/>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0E1B"/>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701"/>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1FC4"/>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8F3"/>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AD6"/>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6EC9"/>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2D2"/>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86A"/>
    <w:rsid w:val="009E3CA3"/>
    <w:rsid w:val="009E40F6"/>
    <w:rsid w:val="009E45EB"/>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261"/>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E13"/>
    <w:rsid w:val="00A25FDF"/>
    <w:rsid w:val="00A26861"/>
    <w:rsid w:val="00A273CC"/>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8D7"/>
    <w:rsid w:val="00A37A66"/>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52F"/>
    <w:rsid w:val="00AC5630"/>
    <w:rsid w:val="00AC592F"/>
    <w:rsid w:val="00AC7839"/>
    <w:rsid w:val="00AC7CF6"/>
    <w:rsid w:val="00AD00D1"/>
    <w:rsid w:val="00AD0475"/>
    <w:rsid w:val="00AD066D"/>
    <w:rsid w:val="00AD0B14"/>
    <w:rsid w:val="00AD17A6"/>
    <w:rsid w:val="00AD1C4B"/>
    <w:rsid w:val="00AD1CD8"/>
    <w:rsid w:val="00AD2535"/>
    <w:rsid w:val="00AD34B9"/>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CA"/>
    <w:rsid w:val="00AE29B5"/>
    <w:rsid w:val="00AE2F8C"/>
    <w:rsid w:val="00AE37AB"/>
    <w:rsid w:val="00AE3D16"/>
    <w:rsid w:val="00AE40D0"/>
    <w:rsid w:val="00AE47EB"/>
    <w:rsid w:val="00AE5754"/>
    <w:rsid w:val="00AE5954"/>
    <w:rsid w:val="00AE6808"/>
    <w:rsid w:val="00AE749F"/>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60D"/>
    <w:rsid w:val="00B205F1"/>
    <w:rsid w:val="00B20A57"/>
    <w:rsid w:val="00B20B1A"/>
    <w:rsid w:val="00B20FE6"/>
    <w:rsid w:val="00B215CD"/>
    <w:rsid w:val="00B2169B"/>
    <w:rsid w:val="00B21B0A"/>
    <w:rsid w:val="00B232AE"/>
    <w:rsid w:val="00B2370C"/>
    <w:rsid w:val="00B23CDF"/>
    <w:rsid w:val="00B24668"/>
    <w:rsid w:val="00B25081"/>
    <w:rsid w:val="00B258BB"/>
    <w:rsid w:val="00B2592F"/>
    <w:rsid w:val="00B26E9E"/>
    <w:rsid w:val="00B2724E"/>
    <w:rsid w:val="00B2732E"/>
    <w:rsid w:val="00B27FB9"/>
    <w:rsid w:val="00B30297"/>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3518"/>
    <w:rsid w:val="00B53B8C"/>
    <w:rsid w:val="00B54383"/>
    <w:rsid w:val="00B543FA"/>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29F4"/>
    <w:rsid w:val="00CB304B"/>
    <w:rsid w:val="00CB31CA"/>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221"/>
    <w:rsid w:val="00CD1BD4"/>
    <w:rsid w:val="00CD22F8"/>
    <w:rsid w:val="00CD260F"/>
    <w:rsid w:val="00CD2792"/>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6CA0"/>
    <w:rsid w:val="00D67055"/>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435E"/>
    <w:rsid w:val="00DB4E3C"/>
    <w:rsid w:val="00DB4E58"/>
    <w:rsid w:val="00DB5456"/>
    <w:rsid w:val="00DB5554"/>
    <w:rsid w:val="00DB5B6C"/>
    <w:rsid w:val="00DB5E2C"/>
    <w:rsid w:val="00DB5E80"/>
    <w:rsid w:val="00DB6BF3"/>
    <w:rsid w:val="00DB70BF"/>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E53"/>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16DC8"/>
    <w:rsid w:val="00E20926"/>
    <w:rsid w:val="00E20A29"/>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1D0"/>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F3D"/>
    <w:rsid w:val="00E969E2"/>
    <w:rsid w:val="00EA022C"/>
    <w:rsid w:val="00EA02FA"/>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B0100"/>
    <w:rsid w:val="00EB07B4"/>
    <w:rsid w:val="00EB1386"/>
    <w:rsid w:val="00EB187B"/>
    <w:rsid w:val="00EB2E70"/>
    <w:rsid w:val="00EB33BC"/>
    <w:rsid w:val="00EB4222"/>
    <w:rsid w:val="00EB44CC"/>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C4D"/>
    <w:rsid w:val="00EC5EEA"/>
    <w:rsid w:val="00EC6D71"/>
    <w:rsid w:val="00ED099F"/>
    <w:rsid w:val="00ED0CC0"/>
    <w:rsid w:val="00ED162C"/>
    <w:rsid w:val="00ED1B1A"/>
    <w:rsid w:val="00ED272C"/>
    <w:rsid w:val="00ED29C6"/>
    <w:rsid w:val="00ED2D35"/>
    <w:rsid w:val="00ED2D7A"/>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325"/>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4880"/>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C74B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71B"/>
    <w:rsid w:val="00FE1EA1"/>
    <w:rsid w:val="00FE212B"/>
    <w:rsid w:val="00FE3046"/>
    <w:rsid w:val="00FE350B"/>
    <w:rsid w:val="00FE388D"/>
    <w:rsid w:val="00FE394A"/>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5CD2"/>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a"/>
    <w:next w:val="a"/>
    <w:link w:val="EmailDiscussionChar"/>
    <w:qFormat/>
    <w:rsid w:val="00232186"/>
    <w:pPr>
      <w:numPr>
        <w:numId w:val="43"/>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afe">
    <w:name w:val="Plain Text"/>
    <w:basedOn w:val="a"/>
    <w:link w:val="aff"/>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aff">
    <w:name w:val="纯文本 字符"/>
    <w:basedOn w:val="a0"/>
    <w:link w:val="afe"/>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9585B-7ECE-4CC3-9FF5-D6DFDC2D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dc:description/>
  <cp:lastModifiedBy>Huawei, HiSilicon</cp:lastModifiedBy>
  <cp:revision>35</cp:revision>
  <dcterms:created xsi:type="dcterms:W3CDTF">2024-05-08T06:28:00Z</dcterms:created>
  <dcterms:modified xsi:type="dcterms:W3CDTF">2024-05-10T08:32:00Z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(3)HlpzUk2R7JZuRsaNPAuTJcXXQe9ySdFpsujQ7Bc6aOr7MtRsiz1FI+sa6STzlUrRef7IHiIg
zC+jA7+jBIQYYeu5F0hcOUgbgK8EayL6xyay0LF9G72mgLurO+m4VZJSmywHnei/3Bg2S1OD
sTHzBEfjGFmXN90NhMueKXwm7KXchEJffEGndlDoRBjBgw7w9NZjr17U4BHZJI6QljrQV+MA
NyHJFLJjUDFHp9Be5g</vt:lpwstr>
  </property>
  <property fmtid="{D5CDD505-2E9C-101B-9397-08002B2CF9AE}" pid="4" name="_2015_ms_pID_7253431">
    <vt:lpwstr>OcLql2ttrkR61VGlW4i6QwktIlHSFRFTLow3Sv1w90RH2Ii0LsJR89
ttpWwum8wydQtjiJgLr0+pmHqwbtkkdqktSwld6P0fQz4ZFWKkyiDFa3IXNXw8WQtl67rvV3
flmCsakUnJKYD5/tj4HNrRqxBXOGn/w9KjVCQvAMYSVJCBBQNILTULwwAVG46wfiQe9T74IV
fTrdQOGFZN0TpN/KKJx6itMpKlPl9y3e9u6f</vt:lpwstr>
  </property>
  <property fmtid="{D5CDD505-2E9C-101B-9397-08002B2CF9AE}" pid="5" name="_2015_ms_pID_7253432">
    <vt:lpwstr>BG1ZRBPA1mG4+JaNMEtew4o=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1713749627</vt:lpwstr>
  </property>
</Properties>
</file>